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532" w:rsidRPr="00460BD7" w:rsidRDefault="009051B8" w:rsidP="00460BD7">
      <w:pPr>
        <w:jc w:val="center"/>
        <w:rPr>
          <w:rFonts w:ascii="Arial" w:hAnsi="Arial" w:cs="Arial"/>
          <w:sz w:val="28"/>
        </w:rPr>
      </w:pPr>
      <w:r w:rsidRPr="00460BD7">
        <w:rPr>
          <w:rFonts w:ascii="Arial" w:hAnsi="Arial" w:cs="Arial"/>
          <w:sz w:val="28"/>
        </w:rPr>
        <w:t>Data Documentation</w:t>
      </w:r>
    </w:p>
    <w:p w:rsidR="009051B8" w:rsidRPr="00326F12" w:rsidRDefault="009051B8">
      <w:pPr>
        <w:rPr>
          <w:rFonts w:ascii="Arial" w:hAnsi="Arial" w:cs="Arial"/>
        </w:rPr>
      </w:pPr>
      <w:r w:rsidRPr="00326F12">
        <w:rPr>
          <w:rFonts w:ascii="Arial" w:hAnsi="Arial" w:cs="Arial"/>
        </w:rPr>
        <w:t xml:space="preserve">Data Dictionary: </w:t>
      </w:r>
      <w:r w:rsidR="00D90A80" w:rsidRPr="00326F12">
        <w:rPr>
          <w:rFonts w:ascii="Arial" w:hAnsi="Arial" w:cs="Arial"/>
        </w:rPr>
        <w:t>A catalog of file contents, including the variable names, types, lengths, definitions, values and What's New information about the patient-level data that is released.</w:t>
      </w:r>
    </w:p>
    <w:p w:rsidR="009051B8" w:rsidRPr="00460BD7" w:rsidRDefault="00326F12" w:rsidP="00326F12">
      <w:pPr>
        <w:jc w:val="center"/>
        <w:rPr>
          <w:rFonts w:ascii="Arial" w:hAnsi="Arial" w:cs="Arial"/>
          <w:sz w:val="28"/>
        </w:rPr>
      </w:pPr>
      <w:r w:rsidRPr="00460BD7">
        <w:rPr>
          <w:rFonts w:ascii="Arial" w:hAnsi="Arial" w:cs="Arial"/>
          <w:sz w:val="28"/>
        </w:rPr>
        <w:t>Appendices</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592"/>
        <w:gridCol w:w="5748"/>
      </w:tblGrid>
      <w:tr w:rsidR="00326F12" w:rsidRPr="00326F12" w:rsidTr="00460BD7">
        <w:trPr>
          <w:trHeight w:val="576"/>
        </w:trPr>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A – Disclosure Policy</w:t>
            </w:r>
          </w:p>
        </w:tc>
        <w:tc>
          <w:tcPr>
            <w:tcW w:w="5755" w:type="dxa"/>
            <w:vAlign w:val="center"/>
          </w:tcPr>
          <w:p w:rsidR="00326F12" w:rsidRPr="00326F12" w:rsidRDefault="00326F12" w:rsidP="00460BD7">
            <w:pPr>
              <w:rPr>
                <w:rFonts w:ascii="Arial" w:hAnsi="Arial" w:cs="Arial"/>
              </w:rPr>
            </w:pPr>
            <w:r w:rsidRPr="00326F12">
              <w:rPr>
                <w:rFonts w:ascii="Arial" w:hAnsi="Arial" w:cs="Arial"/>
              </w:rPr>
              <w:t>OSHPD's Policy on the Disclosure of Patient-Level Healthcare Data and Information.</w:t>
            </w:r>
          </w:p>
        </w:tc>
      </w:tr>
      <w:tr w:rsidR="00326F12" w:rsidRPr="00326F12" w:rsidTr="00460BD7">
        <w:trPr>
          <w:trHeight w:val="576"/>
        </w:trPr>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B – Mitigation Specification</w:t>
            </w:r>
          </w:p>
        </w:tc>
        <w:tc>
          <w:tcPr>
            <w:tcW w:w="5755" w:type="dxa"/>
            <w:vAlign w:val="center"/>
          </w:tcPr>
          <w:p w:rsidR="00326F12" w:rsidRPr="00326F12" w:rsidRDefault="00326F12" w:rsidP="00460BD7">
            <w:pPr>
              <w:rPr>
                <w:rFonts w:ascii="Arial" w:hAnsi="Arial" w:cs="Arial"/>
              </w:rPr>
            </w:pPr>
            <w:r w:rsidRPr="00326F12">
              <w:rPr>
                <w:rFonts w:ascii="Arial" w:hAnsi="Arial" w:cs="Arial"/>
              </w:rPr>
              <w:t>Description of masking technique used in Public Use File. [Only applicable 2010-2014]</w:t>
            </w:r>
          </w:p>
        </w:tc>
      </w:tr>
      <w:tr w:rsidR="00326F12" w:rsidRPr="00326F12" w:rsidTr="00460BD7">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C – Modifications and Exceptions</w:t>
            </w:r>
          </w:p>
        </w:tc>
        <w:tc>
          <w:tcPr>
            <w:tcW w:w="5755" w:type="dxa"/>
            <w:vAlign w:val="center"/>
          </w:tcPr>
          <w:p w:rsidR="00326F12" w:rsidRPr="00326F12" w:rsidRDefault="00326F12" w:rsidP="00460BD7">
            <w:pPr>
              <w:rPr>
                <w:rFonts w:ascii="Arial" w:hAnsi="Arial" w:cs="Arial"/>
              </w:rPr>
            </w:pPr>
            <w:r w:rsidRPr="00326F12">
              <w:rPr>
                <w:rFonts w:ascii="Arial" w:hAnsi="Arial" w:cs="Arial"/>
              </w:rPr>
              <w:t>Modifications to standard data reporting requirements are granted to some facilities that were unable to complete specific fields as required or were determined to be out of compliance at the time of reporting. </w:t>
            </w:r>
            <w:r w:rsidRPr="00326F12">
              <w:rPr>
                <w:rFonts w:ascii="Arial" w:hAnsi="Arial" w:cs="Arial"/>
              </w:rPr>
              <w:br/>
              <w:t>Exceptions are reported for facilities with records that were initially flagged as wrong but were actually reported correctly.</w:t>
            </w:r>
          </w:p>
        </w:tc>
      </w:tr>
      <w:tr w:rsidR="00326F12" w:rsidRPr="00326F12" w:rsidTr="00460BD7">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D – Facility Status</w:t>
            </w:r>
          </w:p>
        </w:tc>
        <w:tc>
          <w:tcPr>
            <w:tcW w:w="5755" w:type="dxa"/>
            <w:vAlign w:val="center"/>
          </w:tcPr>
          <w:p w:rsidR="00326F12" w:rsidRPr="00326F12" w:rsidRDefault="00326F12" w:rsidP="00460BD7">
            <w:pPr>
              <w:rPr>
                <w:rFonts w:ascii="Arial" w:hAnsi="Arial" w:cs="Arial"/>
              </w:rPr>
            </w:pPr>
            <w:r w:rsidRPr="00326F12">
              <w:rPr>
                <w:rFonts w:ascii="Arial" w:hAnsi="Arial" w:cs="Arial"/>
              </w:rPr>
              <w:t>When multiple facility locations operate under one hospital license, the licensed entity is considered a consolidated provider. These types of facilities can report patient-level data as either separate entities or aggregated, as one consolidated provider. </w:t>
            </w:r>
            <w:r w:rsidRPr="00326F12">
              <w:rPr>
                <w:rFonts w:ascii="Arial" w:hAnsi="Arial" w:cs="Arial"/>
              </w:rPr>
              <w:br/>
              <w:t>Status changes: openings, closures, and ownership changes</w:t>
            </w:r>
          </w:p>
        </w:tc>
      </w:tr>
      <w:tr w:rsidR="00326F12" w:rsidRPr="00326F12" w:rsidTr="00460BD7">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E – Counts of Unique Records</w:t>
            </w:r>
          </w:p>
        </w:tc>
        <w:tc>
          <w:tcPr>
            <w:tcW w:w="5755" w:type="dxa"/>
            <w:vAlign w:val="center"/>
          </w:tcPr>
          <w:p w:rsidR="00326F12" w:rsidRPr="00326F12" w:rsidRDefault="00326F12" w:rsidP="00460BD7">
            <w:pPr>
              <w:rPr>
                <w:rFonts w:ascii="Arial" w:hAnsi="Arial" w:cs="Arial"/>
              </w:rPr>
            </w:pPr>
            <w:r w:rsidRPr="00326F12">
              <w:rPr>
                <w:rFonts w:ascii="Arial" w:hAnsi="Arial" w:cs="Arial"/>
                <w:color w:val="333333"/>
                <w:sz w:val="23"/>
                <w:szCs w:val="23"/>
                <w:shd w:val="clear" w:color="auto" w:fill="FFFFFF"/>
              </w:rPr>
              <w:t>Count and percent of records in the Public Use File with suppressed data elements, by facility. [Only applicable 2010-2014]</w:t>
            </w:r>
            <w:r w:rsidRPr="00326F12">
              <w:rPr>
                <w:rFonts w:ascii="Arial" w:hAnsi="Arial" w:cs="Arial"/>
              </w:rPr>
              <w:t>.</w:t>
            </w:r>
          </w:p>
        </w:tc>
      </w:tr>
      <w:tr w:rsidR="00326F12" w:rsidRPr="00326F12" w:rsidTr="00460BD7">
        <w:trPr>
          <w:trHeight w:val="576"/>
        </w:trPr>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F – Counts by Facility (PDD Discharges/ED &amp; AS Encounters)</w:t>
            </w:r>
          </w:p>
        </w:tc>
        <w:tc>
          <w:tcPr>
            <w:tcW w:w="5755" w:type="dxa"/>
            <w:vAlign w:val="center"/>
          </w:tcPr>
          <w:p w:rsidR="00326F12" w:rsidRPr="00326F12" w:rsidRDefault="00326F12" w:rsidP="00460BD7">
            <w:pPr>
              <w:rPr>
                <w:rFonts w:ascii="Arial" w:hAnsi="Arial" w:cs="Arial"/>
              </w:rPr>
            </w:pPr>
            <w:r w:rsidRPr="00326F12">
              <w:rPr>
                <w:rFonts w:ascii="Arial" w:hAnsi="Arial" w:cs="Arial"/>
              </w:rPr>
              <w:t>Count of discharges or visits by facility and across state.</w:t>
            </w:r>
          </w:p>
        </w:tc>
      </w:tr>
      <w:tr w:rsidR="00326F12" w:rsidRPr="00326F12" w:rsidTr="00460BD7">
        <w:trPr>
          <w:trHeight w:val="576"/>
        </w:trPr>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G – Principal Language Spoken</w:t>
            </w:r>
          </w:p>
        </w:tc>
        <w:tc>
          <w:tcPr>
            <w:tcW w:w="5755" w:type="dxa"/>
            <w:vAlign w:val="center"/>
          </w:tcPr>
          <w:p w:rsidR="00326F12" w:rsidRPr="00326F12" w:rsidRDefault="00326F12" w:rsidP="00460BD7">
            <w:pPr>
              <w:rPr>
                <w:rFonts w:ascii="Arial" w:hAnsi="Arial" w:cs="Arial"/>
              </w:rPr>
            </w:pPr>
            <w:r w:rsidRPr="00326F12">
              <w:rPr>
                <w:rFonts w:ascii="Arial" w:hAnsi="Arial" w:cs="Arial"/>
              </w:rPr>
              <w:t>Code set values and descriptions</w:t>
            </w:r>
          </w:p>
        </w:tc>
      </w:tr>
      <w:tr w:rsidR="00326F12" w:rsidRPr="00326F12" w:rsidTr="00460BD7">
        <w:trPr>
          <w:trHeight w:val="576"/>
        </w:trPr>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H – Plan Code Numbers</w:t>
            </w:r>
          </w:p>
        </w:tc>
        <w:tc>
          <w:tcPr>
            <w:tcW w:w="5755" w:type="dxa"/>
            <w:vAlign w:val="center"/>
          </w:tcPr>
          <w:p w:rsidR="00326F12" w:rsidRPr="00326F12" w:rsidRDefault="00326F12" w:rsidP="00460BD7">
            <w:pPr>
              <w:rPr>
                <w:rFonts w:ascii="Arial" w:hAnsi="Arial" w:cs="Arial"/>
              </w:rPr>
            </w:pPr>
            <w:r w:rsidRPr="00326F12">
              <w:rPr>
                <w:rFonts w:ascii="Arial" w:hAnsi="Arial" w:cs="Arial"/>
              </w:rPr>
              <w:t>Plan Code Numbers used as part of reporting Expected Source of Payer</w:t>
            </w:r>
          </w:p>
        </w:tc>
      </w:tr>
      <w:tr w:rsidR="00326F12" w:rsidRPr="00326F12" w:rsidTr="00460BD7">
        <w:trPr>
          <w:trHeight w:val="576"/>
        </w:trPr>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I – Major Diagnostic Categories</w:t>
            </w:r>
          </w:p>
        </w:tc>
        <w:tc>
          <w:tcPr>
            <w:tcW w:w="5755" w:type="dxa"/>
            <w:vAlign w:val="center"/>
          </w:tcPr>
          <w:p w:rsidR="00326F12" w:rsidRPr="00326F12" w:rsidRDefault="00326F12" w:rsidP="00460BD7">
            <w:pPr>
              <w:rPr>
                <w:rFonts w:ascii="Arial" w:hAnsi="Arial" w:cs="Arial"/>
              </w:rPr>
            </w:pPr>
            <w:r w:rsidRPr="00326F12">
              <w:rPr>
                <w:rFonts w:ascii="Arial" w:hAnsi="Arial" w:cs="Arial"/>
              </w:rPr>
              <w:t>MS-DRG code set values by year of use</w:t>
            </w:r>
          </w:p>
        </w:tc>
      </w:tr>
      <w:tr w:rsidR="00326F12" w:rsidRPr="00326F12" w:rsidTr="00460BD7">
        <w:trPr>
          <w:trHeight w:val="720"/>
        </w:trPr>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J – Medic</w:t>
            </w:r>
            <w:r w:rsidR="00460BD7">
              <w:rPr>
                <w:rFonts w:ascii="Arial" w:hAnsi="Arial" w:cs="Arial"/>
                <w:color w:val="002060"/>
              </w:rPr>
              <w:t xml:space="preserve">are Severity-Diagnosis Related </w:t>
            </w:r>
            <w:r w:rsidRPr="00460BD7">
              <w:rPr>
                <w:rFonts w:ascii="Arial" w:hAnsi="Arial" w:cs="Arial"/>
                <w:color w:val="002060"/>
              </w:rPr>
              <w:t>Groups (MS-DRGs)</w:t>
            </w:r>
          </w:p>
        </w:tc>
        <w:tc>
          <w:tcPr>
            <w:tcW w:w="5755" w:type="dxa"/>
            <w:vAlign w:val="center"/>
          </w:tcPr>
          <w:p w:rsidR="00326F12" w:rsidRPr="00326F12" w:rsidRDefault="00326F12" w:rsidP="00460BD7">
            <w:pPr>
              <w:rPr>
                <w:rFonts w:ascii="Arial" w:hAnsi="Arial" w:cs="Arial"/>
              </w:rPr>
            </w:pPr>
            <w:r w:rsidRPr="00326F12">
              <w:rPr>
                <w:rFonts w:ascii="Arial" w:hAnsi="Arial" w:cs="Arial"/>
              </w:rPr>
              <w:t>MS-DRG code set values by year of use</w:t>
            </w:r>
          </w:p>
        </w:tc>
      </w:tr>
      <w:tr w:rsidR="00326F12" w:rsidRPr="00326F12" w:rsidTr="00460BD7">
        <w:trPr>
          <w:trHeight w:val="576"/>
        </w:trPr>
        <w:tc>
          <w:tcPr>
            <w:tcW w:w="3595" w:type="dxa"/>
            <w:vAlign w:val="center"/>
          </w:tcPr>
          <w:p w:rsidR="00326F12" w:rsidRPr="00460BD7" w:rsidRDefault="00326F12" w:rsidP="00460BD7">
            <w:pPr>
              <w:rPr>
                <w:rFonts w:ascii="Arial" w:hAnsi="Arial" w:cs="Arial"/>
                <w:color w:val="002060"/>
              </w:rPr>
            </w:pPr>
            <w:r w:rsidRPr="00460BD7">
              <w:rPr>
                <w:rFonts w:ascii="Arial" w:hAnsi="Arial" w:cs="Arial"/>
                <w:color w:val="002060"/>
              </w:rPr>
              <w:t xml:space="preserve">K –Crosswalk </w:t>
            </w:r>
          </w:p>
        </w:tc>
        <w:tc>
          <w:tcPr>
            <w:tcW w:w="5755" w:type="dxa"/>
            <w:vAlign w:val="center"/>
          </w:tcPr>
          <w:p w:rsidR="00326F12" w:rsidRPr="00326F12" w:rsidRDefault="004C6DD2" w:rsidP="00460BD7">
            <w:pPr>
              <w:rPr>
                <w:rFonts w:ascii="Arial" w:hAnsi="Arial" w:cs="Arial"/>
              </w:rPr>
            </w:pPr>
            <w:r>
              <w:rPr>
                <w:rFonts w:ascii="Arial" w:hAnsi="Arial" w:cs="Arial"/>
              </w:rPr>
              <w:t>Varies depending on the change made to certain years.  Some years have no Appendix K as no changes were made.</w:t>
            </w:r>
            <w:bookmarkStart w:id="0" w:name="_GoBack"/>
            <w:bookmarkEnd w:id="0"/>
          </w:p>
        </w:tc>
      </w:tr>
      <w:tr w:rsidR="00326F12" w:rsidRPr="00326F12" w:rsidTr="00460BD7">
        <w:trPr>
          <w:trHeight w:val="576"/>
        </w:trPr>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L – Manual Abstract Reporting</w:t>
            </w:r>
          </w:p>
        </w:tc>
        <w:tc>
          <w:tcPr>
            <w:tcW w:w="5755" w:type="dxa"/>
            <w:vAlign w:val="center"/>
          </w:tcPr>
          <w:p w:rsidR="00326F12" w:rsidRPr="00326F12" w:rsidRDefault="00326F12" w:rsidP="00460BD7">
            <w:pPr>
              <w:rPr>
                <w:rFonts w:ascii="Arial" w:hAnsi="Arial" w:cs="Arial"/>
              </w:rPr>
            </w:pPr>
            <w:r w:rsidRPr="00326F12">
              <w:rPr>
                <w:rFonts w:ascii="Arial" w:hAnsi="Arial" w:cs="Arial"/>
              </w:rPr>
              <w:t>Manual version of form used by reporting facilities.</w:t>
            </w:r>
          </w:p>
        </w:tc>
      </w:tr>
      <w:tr w:rsidR="00326F12" w:rsidRPr="00326F12" w:rsidTr="00460BD7">
        <w:trPr>
          <w:trHeight w:val="576"/>
        </w:trPr>
        <w:tc>
          <w:tcPr>
            <w:tcW w:w="3595" w:type="dxa"/>
            <w:vAlign w:val="center"/>
          </w:tcPr>
          <w:p w:rsidR="00326F12" w:rsidRPr="00460BD7" w:rsidRDefault="00326F12" w:rsidP="00326F12">
            <w:pPr>
              <w:rPr>
                <w:rFonts w:ascii="Arial" w:hAnsi="Arial" w:cs="Arial"/>
                <w:color w:val="002060"/>
              </w:rPr>
            </w:pPr>
            <w:r w:rsidRPr="00460BD7">
              <w:rPr>
                <w:rFonts w:ascii="Arial" w:hAnsi="Arial" w:cs="Arial"/>
                <w:color w:val="002060"/>
              </w:rPr>
              <w:t>M – Linkable RLNs</w:t>
            </w:r>
          </w:p>
        </w:tc>
        <w:tc>
          <w:tcPr>
            <w:tcW w:w="5755" w:type="dxa"/>
            <w:vAlign w:val="center"/>
          </w:tcPr>
          <w:p w:rsidR="00326F12" w:rsidRPr="00326F12" w:rsidRDefault="00326F12" w:rsidP="00460BD7">
            <w:pPr>
              <w:rPr>
                <w:rFonts w:ascii="Arial" w:hAnsi="Arial" w:cs="Arial"/>
              </w:rPr>
            </w:pPr>
            <w:r w:rsidRPr="00326F12">
              <w:rPr>
                <w:rFonts w:ascii="Arial" w:hAnsi="Arial" w:cs="Arial"/>
                <w:color w:val="333333"/>
                <w:sz w:val="23"/>
                <w:szCs w:val="23"/>
                <w:shd w:val="clear" w:color="auto" w:fill="FFFFFF"/>
              </w:rPr>
              <w:t>Valid, Invalid, and Unknown Social Security Numbers by age group.</w:t>
            </w:r>
          </w:p>
        </w:tc>
      </w:tr>
    </w:tbl>
    <w:p w:rsidR="00326F12" w:rsidRPr="00326F12" w:rsidRDefault="00326F12">
      <w:pPr>
        <w:rPr>
          <w:rFonts w:ascii="Arial" w:hAnsi="Arial" w:cs="Arial"/>
        </w:rPr>
      </w:pPr>
    </w:p>
    <w:sectPr w:rsidR="00326F12" w:rsidRPr="00326F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1B8"/>
    <w:rsid w:val="00114532"/>
    <w:rsid w:val="00326F12"/>
    <w:rsid w:val="00460BD7"/>
    <w:rsid w:val="004C6DD2"/>
    <w:rsid w:val="009051B8"/>
    <w:rsid w:val="00D90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873D2"/>
  <w15:chartTrackingRefBased/>
  <w15:docId w15:val="{17DA2A1D-D7DC-4BD9-B0C9-182DE0F22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6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California</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Neeley, Jasmine@OSHPD</dc:creator>
  <cp:keywords/>
  <dc:description/>
  <cp:lastModifiedBy>Nolan, Terrence@OSHPD</cp:lastModifiedBy>
  <cp:revision>2</cp:revision>
  <dcterms:created xsi:type="dcterms:W3CDTF">2018-07-12T14:52:00Z</dcterms:created>
  <dcterms:modified xsi:type="dcterms:W3CDTF">2018-07-12T14:52:00Z</dcterms:modified>
</cp:coreProperties>
</file>